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b/>
          <w:color w:val="64D8FF"/>
          <w:sz w:val="18"/>
        </w:rPr>
        <w:t>BACIU.COM</w:t>
      </w:r>
    </w:p>
    <w:p>
      <w:pPr>
        <w:pStyle w:val="Title"/>
      </w:pPr>
      <w:r>
        <w:t>AI incident tabletop facilitator guide</w:t>
      </w:r>
    </w:p>
    <w:p>
      <w:r>
        <w:t>Facilitator notes for rehearsing AI incidents with product, engineering, risk, security, operations, legal, and customer teams.</w:t>
      </w:r>
    </w:p>
    <w:p>
      <w:pPr>
        <w:pStyle w:val="Heading1"/>
      </w:pPr>
      <w:r>
        <w:t>Facilitator setup</w:t>
      </w:r>
    </w:p>
    <w:p>
      <w:pPr>
        <w:pStyle w:val="ListBullet"/>
      </w:pPr>
      <w:r>
        <w:t>Choose one scenario and freeze assumptions before the session starts.</w:t>
      </w:r>
    </w:p>
    <w:p>
      <w:pPr>
        <w:pStyle w:val="ListBullet"/>
      </w:pPr>
      <w:r>
        <w:t>Ask participants to state what they would do, not what the policy says in abstract.</w:t>
      </w:r>
    </w:p>
    <w:p>
      <w:pPr>
        <w:pStyle w:val="Heading1"/>
      </w:pPr>
      <w:r>
        <w:t>Debrief</w:t>
      </w:r>
    </w:p>
    <w:p>
      <w:pPr>
        <w:pStyle w:val="ListBullet"/>
      </w:pPr>
      <w:r>
        <w:t>Capture control gaps, unclear owners, missing logs, communication delays, and test additions.</w:t>
      </w:r>
    </w:p>
    <w:p>
      <w:pPr>
        <w:pStyle w:val="ListBullet"/>
      </w:pPr>
      <w:r>
        <w:t>Convert every gap into an owner, due date, and release or operating gate.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vAlign w:val="center"/>
          </w:tcPr>
          <w:p>
            <w:r>
              <w:rPr>
                <w:b/>
              </w:rPr>
              <w:t>Scenario</w:t>
            </w:r>
          </w:p>
        </w:tc>
        <w:tc>
          <w:tcPr>
            <w:tcW w:type="dxa" w:w="3408"/>
            <w:vAlign w:val="center"/>
          </w:tcPr>
          <w:p>
            <w:r>
              <w:rPr>
                <w:b/>
              </w:rPr>
              <w:t>Primary risk</w:t>
            </w:r>
          </w:p>
        </w:tc>
        <w:tc>
          <w:tcPr>
            <w:tcW w:type="dxa" w:w="3408"/>
            <w:vAlign w:val="center"/>
          </w:tcPr>
          <w:p>
            <w:r>
              <w:rPr>
                <w:b/>
              </w:rPr>
              <w:t>Expected control</w:t>
            </w:r>
          </w:p>
        </w:tc>
      </w:tr>
      <w:tr>
        <w:tc>
          <w:tcPr>
            <w:tcW w:type="dxa" w:w="3408"/>
          </w:tcPr>
          <w:p>
            <w:r>
              <w:t>Unsafe action</w:t>
            </w:r>
          </w:p>
        </w:tc>
        <w:tc>
          <w:tcPr>
            <w:tcW w:type="dxa" w:w="3408"/>
          </w:tcPr>
          <w:p>
            <w:r>
              <w:t>Customer or operational harm</w:t>
            </w:r>
          </w:p>
        </w:tc>
        <w:tc>
          <w:tcPr>
            <w:tcW w:type="dxa" w:w="3408"/>
          </w:tcPr>
          <w:p>
            <w:r>
              <w:t>Approval threshold and tool scope</w:t>
            </w:r>
          </w:p>
        </w:tc>
      </w:tr>
      <w:tr>
        <w:tc>
          <w:tcPr>
            <w:tcW w:type="dxa" w:w="3408"/>
          </w:tcPr>
          <w:p>
            <w:r>
              <w:t>Data exposure</w:t>
            </w:r>
          </w:p>
        </w:tc>
        <w:tc>
          <w:tcPr>
            <w:tcW w:type="dxa" w:w="3408"/>
          </w:tcPr>
          <w:p>
            <w:r>
              <w:t>Unauthorized disclosure</w:t>
            </w:r>
          </w:p>
        </w:tc>
        <w:tc>
          <w:tcPr>
            <w:tcW w:type="dxa" w:w="3408"/>
          </w:tcPr>
          <w:p>
            <w:r>
              <w:t>Permission-aware retrieval and audit trace</w:t>
            </w:r>
          </w:p>
        </w:tc>
      </w:tr>
      <w:tr>
        <w:tc>
          <w:tcPr>
            <w:tcW w:type="dxa" w:w="3408"/>
          </w:tcPr>
          <w:p>
            <w:r>
              <w:t>Provider outage</w:t>
            </w:r>
          </w:p>
        </w:tc>
        <w:tc>
          <w:tcPr>
            <w:tcW w:type="dxa" w:w="3408"/>
          </w:tcPr>
          <w:p>
            <w:r>
              <w:t>Service degradation</w:t>
            </w:r>
          </w:p>
        </w:tc>
        <w:tc>
          <w:tcPr>
            <w:tcW w:type="dxa" w:w="3408"/>
          </w:tcPr>
          <w:p>
            <w:r>
              <w:t>Fallback model or human-only mode</w:t>
            </w:r>
          </w:p>
        </w:tc>
      </w:tr>
    </w:tbl>
    <w:p/>
    <w:p>
      <w:r>
        <w:t>Use this template as a controlled starting point. Replace placeholders with customer evidence, owners, and dates before external distribution.</w:t>
      </w:r>
    </w:p>
    <w:sectPr w:rsidR="00FC693F" w:rsidRPr="0006063C" w:rsidSect="00034616"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07090D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07090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 Display" w:hAnsi="Aptos Display"/>
      <w:b/>
      <w:bCs/>
      <w:color w:val="07090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